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Weott CSD’s Operator’s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7-24-24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Kyle and Greg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Springs/Flow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We are still getting good flow from A and B springs. We went and checked on A spring and cleaned it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Test Results: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Water quality has been passing state standards.</w:t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Water Plant: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It has been working efficiently.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Wastewater Plant: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It is functioning properly and passing state tests.</w:t>
      </w:r>
    </w:p>
    <w:p w:rsidR="00000000" w:rsidDel="00000000" w:rsidP="00000000" w:rsidRDefault="00000000" w:rsidRPr="00000000" w14:paraId="0000000C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Project update:</w:t>
      </w:r>
      <w:r w:rsidDel="00000000" w:rsidR="00000000" w:rsidRPr="00000000">
        <w:rPr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We went over grass hopper ridge to the springs with SHN to look at A spring line and what it would take to replace it. We are going up again on the 31st to finish looking at A line and also look at B line .</w:t>
      </w:r>
    </w:p>
    <w:p w:rsidR="00000000" w:rsidDel="00000000" w:rsidP="00000000" w:rsidRDefault="00000000" w:rsidRPr="00000000" w14:paraId="0000000E">
      <w:pPr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We started the project for the new A tank on 7-17-24. They started out by falling some trees and pulling stumps out so they can dig back the old unpacked dirt  to native ground and re-pack the shelf so it is safe and secure for the new tank installation. We will have updates every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1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</w:t>
        <w:tab/>
        <w:t xml:space="preserve">    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