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11-15-23</w:t>
      </w:r>
    </w:p>
    <w:p w:rsidR="00000000" w:rsidDel="00000000" w:rsidP="00000000" w:rsidRDefault="00000000" w:rsidRPr="00000000" w14:paraId="00000005">
      <w:pPr>
        <w:jc w:val="center"/>
        <w:rPr>
          <w:b w:val="1"/>
          <w:sz w:val="32"/>
          <w:szCs w:val="32"/>
        </w:rPr>
      </w:pPr>
      <w:r w:rsidDel="00000000" w:rsidR="00000000" w:rsidRPr="00000000">
        <w:rPr>
          <w:rtl w:val="0"/>
        </w:rPr>
      </w:r>
    </w:p>
    <w:p w:rsidR="00000000" w:rsidDel="00000000" w:rsidP="00000000" w:rsidRDefault="00000000" w:rsidRPr="00000000" w14:paraId="00000006">
      <w:pPr>
        <w:rPr>
          <w:b w:val="1"/>
          <w:highlight w:val="white"/>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 Jamie and I met with Donnie Breedlove from CRWA . I showed him what leaks I could and he suggested we contact caltrans about the line that runs beneath the freeway that is leaking (the exact location of said leak has not been pinpointed yet, but most likely it is under the freeway) just to make them aware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 There was a report of a leak on Maple Lane. We found and repaired it, but the condition of that particular line is such that it will continue to pop holes until it can be replaced. Luckily it only supplies one residence that is a vacation home so they are not there very often so it can be turned off between their visits.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-Once again there was bear damage on the Newton and O'Neal lines. Greg worked with Jeff O'Neill and got them repaired.</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 Greg met with an electrician from Owlsley electric (thank you to Bonnie Mulaney for arranging that) and he was able to repair the generator transfer switch at the wastewater plant it is now working properly.</w:t>
      </w:r>
    </w:p>
    <w:p w:rsidR="00000000" w:rsidDel="00000000" w:rsidP="00000000" w:rsidRDefault="00000000" w:rsidRPr="00000000" w14:paraId="00000010">
      <w:pPr>
        <w:rPr>
          <w:b w:val="1"/>
        </w:rPr>
      </w:pPr>
      <w:r w:rsidDel="00000000" w:rsidR="00000000" w:rsidRPr="00000000">
        <w:rPr>
          <w:b w:val="1"/>
          <w:rtl w:val="0"/>
        </w:rPr>
        <w:t xml:space="preserve">And we are waiting to hear back from them about repairing the generator transfer switch at the water treatment plant.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